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BoxBot机器人格斗大赛赛规</w:t>
      </w:r>
    </w:p>
    <w:p>
      <w:pPr>
        <w:pStyle w:val="2"/>
        <w:numPr>
          <w:ilvl w:val="0"/>
          <w:numId w:val="1"/>
        </w:numPr>
      </w:pPr>
      <w:r>
        <w:rPr>
          <w:rFonts w:hint="eastAsia"/>
        </w:rPr>
        <w:t>竞赛方式（含组队要求）</w:t>
      </w:r>
    </w:p>
    <w:p>
      <w:pPr>
        <w:pStyle w:val="9"/>
        <w:numPr>
          <w:ilvl w:val="0"/>
          <w:numId w:val="2"/>
        </w:numPr>
        <w:ind w:firstLineChars="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羽量组：每支队伍2-3人，每人至少一台机器人，每队3台机器人，不可混用。每场比赛分别由三名队员与对手分别对战，三局两胜。若队伍只有两名队员，则选择一人对战两场，机器人不能重复使用。</w:t>
      </w:r>
    </w:p>
    <w:p>
      <w:pPr>
        <w:pStyle w:val="9"/>
        <w:numPr>
          <w:ilvl w:val="0"/>
          <w:numId w:val="2"/>
        </w:numPr>
        <w:ind w:firstLineChars="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大师组：每支队伍不多于3人，一台主战机一台备用机，不同战队之间不可混用。每场比赛一局定胜负。</w:t>
      </w:r>
    </w:p>
    <w:p>
      <w:pPr>
        <w:pStyle w:val="9"/>
        <w:numPr>
          <w:ilvl w:val="0"/>
          <w:numId w:val="2"/>
        </w:numPr>
        <w:ind w:firstLineChars="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线上赛：一人一组，于竞赛期间在组委会指定平台在线答题。</w:t>
      </w:r>
    </w:p>
    <w:p>
      <w:pPr>
        <w:pStyle w:val="2"/>
        <w:numPr>
          <w:ilvl w:val="0"/>
          <w:numId w:val="1"/>
        </w:numPr>
      </w:pPr>
      <w:r>
        <w:rPr>
          <w:rFonts w:hint="eastAsia"/>
        </w:rPr>
        <w:t>赛具规范</w:t>
      </w:r>
    </w:p>
    <w:p>
      <w:pPr>
        <w:pStyle w:val="3"/>
        <w:numPr>
          <w:ilvl w:val="0"/>
          <w:numId w:val="3"/>
        </w:numPr>
        <w:rPr>
          <w:sz w:val="28"/>
          <w:szCs w:val="28"/>
        </w:rPr>
      </w:pPr>
      <w:r>
        <w:rPr>
          <w:rFonts w:hint="eastAsia"/>
          <w:sz w:val="28"/>
          <w:szCs w:val="28"/>
        </w:rPr>
        <w:t>羽量组（小学、初中可参与）</w:t>
      </w:r>
    </w:p>
    <w:p>
      <w:pPr>
        <w:pStyle w:val="9"/>
        <w:numPr>
          <w:ilvl w:val="0"/>
          <w:numId w:val="4"/>
        </w:numPr>
        <w:ind w:firstLineChars="0"/>
        <w:rPr>
          <w:rFonts w:ascii="仿宋_GB2312" w:hAnsi="宋体" w:eastAsia="仿宋_GB2312" w:cs="宋体"/>
          <w:sz w:val="28"/>
          <w:szCs w:val="28"/>
        </w:rPr>
      </w:pPr>
      <w:r>
        <w:rPr>
          <w:rFonts w:hint="eastAsia" w:ascii="仿宋_GB2312" w:hAnsi="宋体" w:eastAsia="仿宋_GB2312" w:cs="宋体"/>
          <w:sz w:val="28"/>
          <w:szCs w:val="28"/>
        </w:rPr>
        <w:t>场地为0.8米*0.8米的规范赛台；</w:t>
      </w:r>
    </w:p>
    <w:p>
      <w:pPr>
        <w:pStyle w:val="9"/>
        <w:ind w:left="420" w:firstLine="0" w:firstLineChars="0"/>
        <w:rPr>
          <w:rFonts w:ascii="仿宋_GB2312" w:hAnsi="宋体" w:eastAsia="仿宋_GB2312" w:cs="宋体"/>
          <w:sz w:val="28"/>
          <w:szCs w:val="28"/>
        </w:rPr>
      </w:pPr>
      <w:r>
        <w:rPr>
          <w:rFonts w:hint="eastAsia" w:ascii="仿宋_GB2312" w:hAnsi="宋体" w:eastAsia="仿宋_GB2312" w:cs="宋体"/>
          <w:sz w:val="28"/>
          <w:szCs w:val="28"/>
        </w:rPr>
        <w:t>机器人机身及武器必须PLA 3D打印材料；</w:t>
      </w:r>
    </w:p>
    <w:p>
      <w:pPr>
        <w:pStyle w:val="9"/>
        <w:numPr>
          <w:ilvl w:val="0"/>
          <w:numId w:val="4"/>
        </w:numPr>
        <w:ind w:firstLineChars="0"/>
        <w:rPr>
          <w:rFonts w:ascii="仿宋_GB2312" w:hAnsi="宋体" w:eastAsia="仿宋_GB2312" w:cs="宋体"/>
          <w:color w:val="auto"/>
          <w:sz w:val="28"/>
          <w:szCs w:val="28"/>
        </w:rPr>
      </w:pPr>
      <w:r>
        <w:rPr>
          <w:rFonts w:hint="eastAsia" w:ascii="仿宋_GB2312" w:hAnsi="宋体" w:eastAsia="仿宋_GB2312" w:cs="宋体"/>
          <w:sz w:val="28"/>
          <w:szCs w:val="28"/>
        </w:rPr>
        <w:t>除武器轴、螺丝螺母、电子器件等必要部件外，禁止出现金属物；</w:t>
      </w:r>
      <w:r>
        <w:rPr>
          <w:rFonts w:hint="eastAsia" w:ascii="仿宋_GB2312" w:hAnsi="宋体" w:eastAsia="仿宋_GB2312" w:cs="宋体"/>
          <w:color w:val="auto"/>
          <w:sz w:val="28"/>
          <w:szCs w:val="28"/>
          <w:lang w:val="en-US" w:eastAsia="zh-CN"/>
        </w:rPr>
        <w:t>禁止使用任何胶粘；</w:t>
      </w:r>
    </w:p>
    <w:p>
      <w:pPr>
        <w:pStyle w:val="9"/>
        <w:numPr>
          <w:ilvl w:val="0"/>
          <w:numId w:val="4"/>
        </w:numPr>
        <w:ind w:firstLineChars="0"/>
        <w:rPr>
          <w:rFonts w:ascii="仿宋_GB2312" w:hAnsi="宋体" w:eastAsia="仿宋_GB2312" w:cs="宋体"/>
          <w:sz w:val="28"/>
          <w:szCs w:val="28"/>
        </w:rPr>
      </w:pPr>
      <w:r>
        <w:rPr>
          <w:rFonts w:ascii="仿宋_GB2312" w:hAnsi="宋体" w:eastAsia="仿宋_GB2312" w:cs="宋体"/>
          <w:sz w:val="28"/>
          <w:szCs w:val="28"/>
        </w:rPr>
        <w:t>仅允许采用电力驱动，禁止使用气动、</w:t>
      </w:r>
      <w:r>
        <w:rPr>
          <w:rFonts w:hint="eastAsia" w:ascii="仿宋_GB2312" w:hAnsi="宋体" w:eastAsia="仿宋_GB2312" w:cs="宋体"/>
          <w:sz w:val="28"/>
          <w:szCs w:val="28"/>
        </w:rPr>
        <w:t>油动</w:t>
      </w:r>
      <w:r>
        <w:rPr>
          <w:rFonts w:ascii="仿宋_GB2312" w:hAnsi="宋体" w:eastAsia="仿宋_GB2312" w:cs="宋体"/>
          <w:sz w:val="28"/>
          <w:szCs w:val="28"/>
        </w:rPr>
        <w:t>等方式提供动力</w:t>
      </w:r>
      <w:r>
        <w:rPr>
          <w:rFonts w:hint="eastAsia" w:ascii="仿宋_GB2312" w:hAnsi="宋体" w:eastAsia="仿宋_GB2312" w:cs="宋体"/>
          <w:sz w:val="28"/>
          <w:szCs w:val="28"/>
        </w:rPr>
        <w:t>；</w:t>
      </w:r>
    </w:p>
    <w:p>
      <w:pPr>
        <w:pStyle w:val="9"/>
        <w:numPr>
          <w:ilvl w:val="0"/>
          <w:numId w:val="4"/>
        </w:numPr>
        <w:ind w:firstLineChars="0"/>
        <w:rPr>
          <w:rFonts w:ascii="仿宋_GB2312" w:hAnsi="宋体" w:eastAsia="仿宋_GB2312" w:cs="宋体"/>
          <w:sz w:val="28"/>
          <w:szCs w:val="28"/>
        </w:rPr>
      </w:pPr>
      <w:r>
        <w:rPr>
          <w:rFonts w:hint="eastAsia" w:ascii="仿宋_GB2312" w:hAnsi="宋体" w:eastAsia="仿宋_GB2312" w:cs="宋体"/>
          <w:sz w:val="28"/>
          <w:szCs w:val="28"/>
        </w:rPr>
        <w:t>电池</w:t>
      </w:r>
      <w:r>
        <w:rPr>
          <w:rFonts w:hint="eastAsia" w:ascii="仿宋_GB2312" w:hAnsi="宋体" w:eastAsia="仿宋_GB2312" w:cs="宋体"/>
          <w:sz w:val="28"/>
          <w:szCs w:val="28"/>
          <w:lang w:eastAsia="zh-CN"/>
        </w:rPr>
        <w:t>、</w:t>
      </w:r>
      <w:r>
        <w:rPr>
          <w:rFonts w:hint="eastAsia" w:ascii="仿宋_GB2312" w:hAnsi="宋体" w:eastAsia="仿宋_GB2312" w:cs="宋体"/>
          <w:color w:val="auto"/>
          <w:sz w:val="28"/>
          <w:szCs w:val="28"/>
          <w:lang w:val="en-US" w:eastAsia="zh-CN"/>
        </w:rPr>
        <w:t>电机</w:t>
      </w:r>
      <w:r>
        <w:rPr>
          <w:rFonts w:hint="eastAsia" w:ascii="仿宋_GB2312" w:hAnsi="宋体" w:eastAsia="仿宋_GB2312" w:cs="宋体"/>
          <w:sz w:val="28"/>
          <w:szCs w:val="28"/>
        </w:rPr>
        <w:t>须使用赛事承办方指定的规格型号；</w:t>
      </w:r>
      <w:bookmarkStart w:id="0" w:name="_GoBack"/>
      <w:bookmarkEnd w:id="0"/>
    </w:p>
    <w:p>
      <w:pPr>
        <w:pStyle w:val="9"/>
        <w:numPr>
          <w:ilvl w:val="0"/>
          <w:numId w:val="4"/>
        </w:numPr>
        <w:ind w:firstLineChars="0"/>
        <w:rPr>
          <w:rFonts w:ascii="仿宋_GB2312" w:hAnsi="宋体" w:eastAsia="仿宋_GB2312" w:cs="宋体"/>
          <w:sz w:val="28"/>
          <w:szCs w:val="28"/>
        </w:rPr>
      </w:pPr>
      <w:r>
        <w:rPr>
          <w:rFonts w:ascii="仿宋_GB2312" w:hAnsi="宋体" w:eastAsia="仿宋_GB2312" w:cs="宋体"/>
          <w:sz w:val="28"/>
          <w:szCs w:val="28"/>
        </w:rPr>
        <w:t>每台机器底盘驱动电机数量不得超过</w:t>
      </w:r>
      <w:r>
        <w:rPr>
          <w:rFonts w:hint="eastAsia" w:ascii="仿宋_GB2312" w:hAnsi="宋体" w:eastAsia="仿宋_GB2312" w:cs="宋体"/>
          <w:sz w:val="28"/>
          <w:szCs w:val="28"/>
        </w:rPr>
        <w:t>2</w:t>
      </w:r>
      <w:r>
        <w:rPr>
          <w:rFonts w:ascii="仿宋_GB2312" w:hAnsi="宋体" w:eastAsia="仿宋_GB2312" w:cs="宋体"/>
          <w:sz w:val="28"/>
          <w:szCs w:val="28"/>
        </w:rPr>
        <w:t>个</w:t>
      </w:r>
      <w:r>
        <w:rPr>
          <w:rFonts w:hint="eastAsia" w:ascii="仿宋_GB2312" w:hAnsi="宋体" w:eastAsia="仿宋_GB2312" w:cs="宋体"/>
          <w:sz w:val="28"/>
          <w:szCs w:val="28"/>
        </w:rPr>
        <w:t>；</w:t>
      </w:r>
    </w:p>
    <w:p>
      <w:pPr>
        <w:pStyle w:val="9"/>
        <w:numPr>
          <w:ilvl w:val="0"/>
          <w:numId w:val="4"/>
        </w:numPr>
        <w:ind w:firstLineChars="0"/>
        <w:rPr>
          <w:rFonts w:ascii="仿宋_GB2312" w:hAnsi="宋体" w:eastAsia="仿宋_GB2312" w:cs="宋体"/>
          <w:sz w:val="28"/>
          <w:szCs w:val="28"/>
        </w:rPr>
      </w:pPr>
      <w:r>
        <w:rPr>
          <w:rFonts w:hint="eastAsia" w:ascii="仿宋_GB2312" w:hAnsi="宋体" w:eastAsia="仿宋_GB2312" w:cs="宋体"/>
          <w:sz w:val="28"/>
          <w:szCs w:val="28"/>
        </w:rPr>
        <w:t>采用PLA 3D打印材料的机器人整机重量（含电池）不得超过260g；机器人需使用2.4G通讯设备进行操控；</w:t>
      </w:r>
    </w:p>
    <w:p>
      <w:pPr>
        <w:pStyle w:val="9"/>
        <w:numPr>
          <w:ilvl w:val="0"/>
          <w:numId w:val="4"/>
        </w:numPr>
        <w:ind w:firstLineChars="0"/>
        <w:rPr>
          <w:rFonts w:ascii="仿宋_GB2312" w:hAnsi="宋体" w:eastAsia="仿宋_GB2312" w:cs="宋体"/>
          <w:sz w:val="28"/>
          <w:szCs w:val="28"/>
        </w:rPr>
      </w:pPr>
      <w:r>
        <w:rPr>
          <w:rFonts w:ascii="仿宋_GB2312" w:hAnsi="宋体" w:eastAsia="仿宋_GB2312" w:cs="宋体"/>
          <w:sz w:val="28"/>
          <w:szCs w:val="28"/>
        </w:rPr>
        <w:t>机器人的装饰、贴图等元素，需经过赛事主办方的审核</w:t>
      </w:r>
      <w:r>
        <w:rPr>
          <w:rFonts w:hint="eastAsia" w:ascii="仿宋_GB2312" w:hAnsi="宋体" w:eastAsia="仿宋_GB2312" w:cs="宋体"/>
          <w:sz w:val="28"/>
          <w:szCs w:val="28"/>
        </w:rPr>
        <w:t>。</w:t>
      </w:r>
    </w:p>
    <w:p>
      <w:pPr>
        <w:pStyle w:val="3"/>
        <w:numPr>
          <w:ilvl w:val="0"/>
          <w:numId w:val="3"/>
        </w:numPr>
        <w:rPr>
          <w:sz w:val="28"/>
          <w:szCs w:val="28"/>
        </w:rPr>
      </w:pPr>
      <w:r>
        <w:rPr>
          <w:rFonts w:hint="eastAsia"/>
          <w:sz w:val="28"/>
          <w:szCs w:val="28"/>
        </w:rPr>
        <w:t>大师组（小学、初中、高中可参与）</w:t>
      </w:r>
    </w:p>
    <w:p>
      <w:pPr>
        <w:pStyle w:val="9"/>
        <w:numPr>
          <w:ilvl w:val="0"/>
          <w:numId w:val="5"/>
        </w:numPr>
        <w:ind w:firstLineChars="0"/>
        <w:rPr>
          <w:rFonts w:ascii="仿宋_GB2312" w:hAnsi="宋体" w:eastAsia="仿宋_GB2312" w:cs="宋体"/>
          <w:sz w:val="28"/>
          <w:szCs w:val="28"/>
        </w:rPr>
      </w:pPr>
      <w:r>
        <w:rPr>
          <w:rFonts w:hint="eastAsia" w:ascii="仿宋_GB2312" w:hAnsi="宋体" w:eastAsia="仿宋_GB2312" w:cs="宋体"/>
          <w:sz w:val="28"/>
          <w:szCs w:val="28"/>
        </w:rPr>
        <w:t>场地为1米*1米的规范赛台；</w:t>
      </w:r>
    </w:p>
    <w:p>
      <w:pPr>
        <w:pStyle w:val="9"/>
        <w:numPr>
          <w:ilvl w:val="0"/>
          <w:numId w:val="5"/>
        </w:numPr>
        <w:ind w:firstLineChars="0"/>
        <w:rPr>
          <w:rFonts w:ascii="仿宋_GB2312" w:hAnsi="宋体" w:eastAsia="仿宋_GB2312" w:cs="宋体"/>
          <w:sz w:val="28"/>
          <w:szCs w:val="28"/>
        </w:rPr>
      </w:pPr>
      <w:r>
        <w:rPr>
          <w:rFonts w:hint="eastAsia" w:ascii="仿宋_GB2312" w:hAnsi="宋体" w:eastAsia="仿宋_GB2312" w:cs="宋体"/>
          <w:sz w:val="28"/>
          <w:szCs w:val="28"/>
        </w:rPr>
        <w:t>机器人机身必须为亚克力及PLA 3D打印材料；武器必须为PLA 3D打印材料；</w:t>
      </w:r>
    </w:p>
    <w:p>
      <w:pPr>
        <w:pStyle w:val="9"/>
        <w:numPr>
          <w:ilvl w:val="0"/>
          <w:numId w:val="5"/>
        </w:numPr>
        <w:ind w:firstLineChars="0"/>
        <w:rPr>
          <w:rFonts w:ascii="仿宋_GB2312" w:hAnsi="宋体" w:eastAsia="仿宋_GB2312" w:cs="宋体"/>
          <w:sz w:val="28"/>
          <w:szCs w:val="28"/>
        </w:rPr>
      </w:pPr>
      <w:r>
        <w:rPr>
          <w:rFonts w:hint="eastAsia" w:ascii="仿宋_GB2312" w:hAnsi="宋体" w:eastAsia="仿宋_GB2312" w:cs="宋体"/>
          <w:sz w:val="28"/>
          <w:szCs w:val="28"/>
        </w:rPr>
        <w:t>除武器轴、螺丝螺母、电子器件等必要部件外，禁止出现金属物；</w:t>
      </w:r>
    </w:p>
    <w:p>
      <w:pPr>
        <w:pStyle w:val="9"/>
        <w:numPr>
          <w:ilvl w:val="0"/>
          <w:numId w:val="5"/>
        </w:numPr>
        <w:ind w:firstLineChars="0"/>
        <w:rPr>
          <w:rFonts w:ascii="仿宋_GB2312" w:hAnsi="宋体" w:eastAsia="仿宋_GB2312" w:cs="宋体"/>
          <w:sz w:val="28"/>
          <w:szCs w:val="28"/>
        </w:rPr>
      </w:pPr>
      <w:r>
        <w:rPr>
          <w:rFonts w:ascii="仿宋_GB2312" w:hAnsi="宋体" w:eastAsia="仿宋_GB2312" w:cs="宋体"/>
          <w:sz w:val="28"/>
          <w:szCs w:val="28"/>
        </w:rPr>
        <w:t>仅允许采用电力驱动，禁止使用气动、</w:t>
      </w:r>
      <w:r>
        <w:rPr>
          <w:rFonts w:hint="eastAsia" w:ascii="仿宋_GB2312" w:hAnsi="宋体" w:eastAsia="仿宋_GB2312" w:cs="宋体"/>
          <w:sz w:val="28"/>
          <w:szCs w:val="28"/>
        </w:rPr>
        <w:t>油动</w:t>
      </w:r>
      <w:r>
        <w:rPr>
          <w:rFonts w:ascii="仿宋_GB2312" w:hAnsi="宋体" w:eastAsia="仿宋_GB2312" w:cs="宋体"/>
          <w:sz w:val="28"/>
          <w:szCs w:val="28"/>
        </w:rPr>
        <w:t>等方式提供动力</w:t>
      </w:r>
      <w:r>
        <w:rPr>
          <w:rFonts w:hint="eastAsia" w:ascii="仿宋_GB2312" w:hAnsi="宋体" w:eastAsia="仿宋_GB2312" w:cs="宋体"/>
          <w:sz w:val="28"/>
          <w:szCs w:val="28"/>
        </w:rPr>
        <w:t>；</w:t>
      </w:r>
    </w:p>
    <w:p>
      <w:pPr>
        <w:pStyle w:val="9"/>
        <w:numPr>
          <w:ilvl w:val="0"/>
          <w:numId w:val="5"/>
        </w:numPr>
        <w:ind w:firstLineChars="0"/>
        <w:rPr>
          <w:rFonts w:ascii="仿宋_GB2312" w:hAnsi="宋体" w:eastAsia="仿宋_GB2312" w:cs="宋体"/>
          <w:sz w:val="28"/>
          <w:szCs w:val="28"/>
        </w:rPr>
      </w:pPr>
      <w:r>
        <w:rPr>
          <w:rFonts w:hint="eastAsia" w:ascii="仿宋_GB2312" w:hAnsi="宋体" w:eastAsia="仿宋_GB2312" w:cs="宋体"/>
          <w:sz w:val="28"/>
          <w:szCs w:val="28"/>
        </w:rPr>
        <w:t>电池须使用赛事承办方指定的规格型号；</w:t>
      </w:r>
    </w:p>
    <w:p>
      <w:pPr>
        <w:pStyle w:val="9"/>
        <w:numPr>
          <w:ilvl w:val="0"/>
          <w:numId w:val="5"/>
        </w:numPr>
        <w:ind w:firstLineChars="0"/>
        <w:rPr>
          <w:rFonts w:ascii="仿宋_GB2312" w:hAnsi="宋体" w:eastAsia="仿宋_GB2312" w:cs="宋体"/>
          <w:sz w:val="28"/>
          <w:szCs w:val="28"/>
        </w:rPr>
      </w:pPr>
      <w:r>
        <w:rPr>
          <w:rFonts w:ascii="仿宋_GB2312" w:hAnsi="宋体" w:eastAsia="仿宋_GB2312" w:cs="宋体"/>
          <w:sz w:val="28"/>
          <w:szCs w:val="28"/>
        </w:rPr>
        <w:t>每台机器底盘驱动电机数量不得超过</w:t>
      </w:r>
      <w:r>
        <w:rPr>
          <w:rFonts w:hint="eastAsia" w:ascii="仿宋_GB2312" w:hAnsi="宋体" w:eastAsia="仿宋_GB2312" w:cs="宋体"/>
          <w:sz w:val="28"/>
          <w:szCs w:val="28"/>
        </w:rPr>
        <w:t>2</w:t>
      </w:r>
      <w:r>
        <w:rPr>
          <w:rFonts w:ascii="仿宋_GB2312" w:hAnsi="宋体" w:eastAsia="仿宋_GB2312" w:cs="宋体"/>
          <w:sz w:val="28"/>
          <w:szCs w:val="28"/>
        </w:rPr>
        <w:t>个</w:t>
      </w:r>
      <w:r>
        <w:rPr>
          <w:rFonts w:hint="eastAsia" w:ascii="仿宋_GB2312" w:hAnsi="宋体" w:eastAsia="仿宋_GB2312" w:cs="宋体"/>
          <w:sz w:val="28"/>
          <w:szCs w:val="28"/>
        </w:rPr>
        <w:t>；</w:t>
      </w:r>
    </w:p>
    <w:p>
      <w:pPr>
        <w:pStyle w:val="9"/>
        <w:numPr>
          <w:ilvl w:val="0"/>
          <w:numId w:val="5"/>
        </w:numPr>
        <w:ind w:firstLineChars="0"/>
        <w:rPr>
          <w:rFonts w:ascii="仿宋_GB2312" w:hAnsi="宋体" w:eastAsia="仿宋_GB2312" w:cs="宋体"/>
          <w:sz w:val="28"/>
          <w:szCs w:val="28"/>
        </w:rPr>
      </w:pPr>
      <w:r>
        <w:rPr>
          <w:rFonts w:hint="eastAsia" w:ascii="仿宋_GB2312" w:hAnsi="宋体" w:eastAsia="仿宋_GB2312" w:cs="宋体"/>
          <w:sz w:val="28"/>
          <w:szCs w:val="28"/>
        </w:rPr>
        <w:t>机器人整机重量（含电池）不得超过850g；</w:t>
      </w:r>
    </w:p>
    <w:p>
      <w:pPr>
        <w:pStyle w:val="9"/>
        <w:numPr>
          <w:ilvl w:val="0"/>
          <w:numId w:val="5"/>
        </w:numPr>
        <w:ind w:firstLineChars="0"/>
        <w:rPr>
          <w:rFonts w:ascii="仿宋_GB2312" w:hAnsi="宋体" w:eastAsia="仿宋_GB2312" w:cs="宋体"/>
          <w:sz w:val="28"/>
          <w:szCs w:val="28"/>
        </w:rPr>
      </w:pPr>
      <w:r>
        <w:rPr>
          <w:rFonts w:hint="eastAsia" w:ascii="仿宋_GB2312" w:hAnsi="宋体" w:eastAsia="仿宋_GB2312" w:cs="宋体"/>
          <w:sz w:val="28"/>
          <w:szCs w:val="28"/>
        </w:rPr>
        <w:t>机器人需使用2.4G通讯设备进行操控；</w:t>
      </w:r>
    </w:p>
    <w:p>
      <w:pPr>
        <w:pStyle w:val="9"/>
        <w:numPr>
          <w:ilvl w:val="0"/>
          <w:numId w:val="5"/>
        </w:numPr>
        <w:ind w:firstLineChars="0"/>
        <w:rPr>
          <w:rFonts w:ascii="仿宋_GB2312" w:hAnsi="宋体" w:eastAsia="仿宋_GB2312" w:cs="宋体"/>
          <w:sz w:val="28"/>
          <w:szCs w:val="28"/>
        </w:rPr>
      </w:pPr>
      <w:r>
        <w:rPr>
          <w:rFonts w:ascii="仿宋_GB2312" w:hAnsi="宋体" w:eastAsia="仿宋_GB2312" w:cs="宋体"/>
          <w:sz w:val="28"/>
          <w:szCs w:val="28"/>
        </w:rPr>
        <w:t>机器人的装饰、贴图等元素，需经过赛事主办方的审核</w:t>
      </w:r>
      <w:r>
        <w:rPr>
          <w:rFonts w:hint="eastAsia" w:ascii="仿宋_GB2312" w:hAnsi="宋体" w:eastAsia="仿宋_GB2312" w:cs="宋体"/>
          <w:sz w:val="28"/>
          <w:szCs w:val="28"/>
        </w:rPr>
        <w:t>。</w:t>
      </w:r>
    </w:p>
    <w:p/>
    <w:p>
      <w:pPr>
        <w:pStyle w:val="2"/>
        <w:numPr>
          <w:ilvl w:val="0"/>
          <w:numId w:val="1"/>
        </w:numPr>
      </w:pPr>
      <w:r>
        <w:rPr>
          <w:rFonts w:hint="eastAsia"/>
        </w:rPr>
        <w:t>线下竞赛规则</w:t>
      </w:r>
    </w:p>
    <w:p>
      <w:pPr>
        <w:pStyle w:val="9"/>
        <w:numPr>
          <w:ilvl w:val="0"/>
          <w:numId w:val="6"/>
        </w:numPr>
        <w:ind w:firstLineChars="0"/>
        <w:rPr>
          <w:rFonts w:ascii="仿宋_GB2312" w:hAnsi="宋体" w:eastAsia="仿宋_GB2312" w:cs="宋体"/>
          <w:sz w:val="28"/>
          <w:szCs w:val="28"/>
        </w:rPr>
      </w:pPr>
      <w:r>
        <w:rPr>
          <w:rFonts w:hint="eastAsia" w:ascii="仿宋_GB2312" w:hAnsi="宋体" w:eastAsia="仿宋_GB2312" w:cs="宋体"/>
          <w:sz w:val="28"/>
          <w:szCs w:val="28"/>
        </w:rPr>
        <w:t>选手赛前提交课题报告，裁判组根据报告质量打分，满分20分，最低0分，打分依据见表1；</w:t>
      </w:r>
    </w:p>
    <w:p>
      <w:pPr>
        <w:pStyle w:val="9"/>
        <w:numPr>
          <w:ilvl w:val="0"/>
          <w:numId w:val="6"/>
        </w:numPr>
        <w:ind w:firstLineChars="0"/>
        <w:rPr>
          <w:rFonts w:ascii="仿宋_GB2312" w:hAnsi="宋体" w:eastAsia="仿宋_GB2312" w:cs="宋体"/>
          <w:sz w:val="28"/>
          <w:szCs w:val="28"/>
        </w:rPr>
      </w:pPr>
      <w:r>
        <w:rPr>
          <w:rFonts w:hint="eastAsia" w:ascii="仿宋_GB2312" w:hAnsi="宋体" w:eastAsia="仿宋_GB2312" w:cs="宋体"/>
          <w:sz w:val="28"/>
          <w:szCs w:val="28"/>
        </w:rPr>
        <w:t>每局竞赛时长为3分钟，双方初始成绩为80分（不含课题报告）；</w:t>
      </w:r>
    </w:p>
    <w:p>
      <w:pPr>
        <w:pStyle w:val="9"/>
        <w:numPr>
          <w:ilvl w:val="0"/>
          <w:numId w:val="6"/>
        </w:numPr>
        <w:ind w:firstLineChars="0"/>
        <w:rPr>
          <w:rFonts w:ascii="仿宋_GB2312" w:hAnsi="宋体" w:eastAsia="仿宋_GB2312" w:cs="宋体"/>
          <w:sz w:val="28"/>
          <w:szCs w:val="28"/>
        </w:rPr>
      </w:pPr>
      <w:r>
        <w:rPr>
          <w:rFonts w:hint="eastAsia" w:ascii="仿宋_GB2312" w:hAnsi="宋体" w:eastAsia="仿宋_GB2312" w:cs="宋体"/>
          <w:sz w:val="28"/>
          <w:szCs w:val="28"/>
        </w:rPr>
        <w:t>检录阶段，每名选手使用官方提供的电子秤为自己的机器人称重；</w:t>
      </w:r>
    </w:p>
    <w:p>
      <w:pPr>
        <w:pStyle w:val="9"/>
        <w:numPr>
          <w:ilvl w:val="0"/>
          <w:numId w:val="6"/>
        </w:numPr>
        <w:ind w:firstLineChars="0"/>
        <w:rPr>
          <w:rFonts w:ascii="仿宋_GB2312" w:hAnsi="宋体" w:eastAsia="仿宋_GB2312" w:cs="宋体"/>
          <w:sz w:val="28"/>
          <w:szCs w:val="28"/>
        </w:rPr>
      </w:pPr>
      <w:r>
        <w:rPr>
          <w:rFonts w:hint="eastAsia" w:ascii="仿宋_GB2312" w:hAnsi="宋体" w:eastAsia="仿宋_GB2312" w:cs="宋体"/>
          <w:sz w:val="28"/>
          <w:szCs w:val="28"/>
        </w:rPr>
        <w:t>比赛开始前，参赛队员将机器摆放在赛场内指定区域，待裁判吹哨后方可启动机器；</w:t>
      </w:r>
    </w:p>
    <w:p>
      <w:pPr>
        <w:pStyle w:val="9"/>
        <w:numPr>
          <w:ilvl w:val="0"/>
          <w:numId w:val="6"/>
        </w:numPr>
        <w:ind w:firstLineChars="0"/>
        <w:rPr>
          <w:rFonts w:ascii="仿宋_GB2312" w:hAnsi="宋体" w:eastAsia="仿宋_GB2312" w:cs="宋体"/>
          <w:sz w:val="28"/>
          <w:szCs w:val="28"/>
        </w:rPr>
      </w:pPr>
      <w:r>
        <w:rPr>
          <w:rFonts w:hint="eastAsia" w:ascii="仿宋_GB2312" w:hAnsi="宋体" w:eastAsia="仿宋_GB2312" w:cs="宋体"/>
          <w:sz w:val="28"/>
          <w:szCs w:val="28"/>
        </w:rPr>
        <w:t>比赛开始后任何一方均不可触碰场内机器人；</w:t>
      </w:r>
    </w:p>
    <w:p>
      <w:pPr>
        <w:pStyle w:val="9"/>
        <w:numPr>
          <w:ilvl w:val="0"/>
          <w:numId w:val="6"/>
        </w:numPr>
        <w:ind w:firstLineChars="0"/>
        <w:rPr>
          <w:rFonts w:ascii="仿宋_GB2312" w:hAnsi="宋体" w:eastAsia="仿宋_GB2312" w:cs="宋体"/>
          <w:sz w:val="28"/>
          <w:szCs w:val="28"/>
        </w:rPr>
      </w:pPr>
      <w:r>
        <w:rPr>
          <w:rFonts w:hint="eastAsia" w:ascii="仿宋_GB2312" w:hAnsi="宋体" w:eastAsia="仿宋_GB2312" w:cs="宋体"/>
          <w:sz w:val="28"/>
          <w:szCs w:val="28"/>
        </w:rPr>
        <w:t>比赛开始后如有拒绝进攻、一味躲避行为者，裁判可判罚消极比赛，进行扣分处罚；</w:t>
      </w:r>
    </w:p>
    <w:p>
      <w:pPr>
        <w:pStyle w:val="9"/>
        <w:numPr>
          <w:ilvl w:val="0"/>
          <w:numId w:val="6"/>
        </w:numPr>
        <w:ind w:firstLineChars="0"/>
        <w:rPr>
          <w:rFonts w:ascii="仿宋_GB2312" w:hAnsi="宋体" w:eastAsia="仿宋_GB2312" w:cs="宋体"/>
          <w:sz w:val="28"/>
          <w:szCs w:val="28"/>
        </w:rPr>
      </w:pPr>
      <w:r>
        <w:rPr>
          <w:rFonts w:hint="eastAsia" w:ascii="仿宋_GB2312" w:hAnsi="宋体" w:eastAsia="仿宋_GB2312" w:cs="宋体"/>
          <w:sz w:val="28"/>
          <w:szCs w:val="28"/>
        </w:rPr>
        <w:t>比赛过程中如出现机器人起火或冒烟等危险情况的，裁判员应当立即终止比赛。无法进行比赛的一方被判负；</w:t>
      </w:r>
    </w:p>
    <w:p>
      <w:pPr>
        <w:pStyle w:val="9"/>
        <w:numPr>
          <w:ilvl w:val="0"/>
          <w:numId w:val="6"/>
        </w:numPr>
        <w:ind w:firstLineChars="0"/>
        <w:rPr>
          <w:rFonts w:ascii="仿宋_GB2312" w:hAnsi="宋体" w:eastAsia="仿宋_GB2312" w:cs="宋体"/>
          <w:sz w:val="28"/>
          <w:szCs w:val="28"/>
        </w:rPr>
      </w:pPr>
      <w:r>
        <w:rPr>
          <w:rFonts w:hint="eastAsia" w:ascii="仿宋_GB2312" w:hAnsi="宋体" w:eastAsia="仿宋_GB2312" w:cs="宋体"/>
          <w:sz w:val="28"/>
          <w:szCs w:val="28"/>
        </w:rPr>
        <w:t>比赛中KO对手（通过击翻或重击对手造成致命损伤、将对手推至陷阱里，导致对手不能移动的）的一方直接获胜；</w:t>
      </w:r>
    </w:p>
    <w:p>
      <w:pPr>
        <w:pStyle w:val="9"/>
        <w:numPr>
          <w:ilvl w:val="0"/>
          <w:numId w:val="6"/>
        </w:numPr>
        <w:ind w:firstLineChars="0"/>
        <w:rPr>
          <w:rFonts w:ascii="仿宋_GB2312" w:hAnsi="宋体" w:eastAsia="仿宋_GB2312" w:cs="宋体"/>
          <w:sz w:val="28"/>
          <w:szCs w:val="28"/>
        </w:rPr>
      </w:pPr>
      <w:r>
        <w:rPr>
          <w:rFonts w:hint="eastAsia" w:ascii="仿宋_GB2312" w:hAnsi="宋体" w:eastAsia="仿宋_GB2312" w:cs="宋体"/>
          <w:sz w:val="28"/>
          <w:szCs w:val="28"/>
        </w:rPr>
        <w:t>比赛中，被对手攻击或自己误操作导致机器人进入陷阱区，裁判开始读秒，1秒扣1分，达到10秒仍未脱离陷进区，判定为被KO；</w:t>
      </w:r>
    </w:p>
    <w:p>
      <w:pPr>
        <w:pStyle w:val="9"/>
        <w:numPr>
          <w:ilvl w:val="0"/>
          <w:numId w:val="6"/>
        </w:numPr>
        <w:ind w:firstLineChars="0"/>
        <w:rPr>
          <w:rFonts w:ascii="仿宋_GB2312" w:hAnsi="宋体" w:eastAsia="仿宋_GB2312" w:cs="宋体"/>
          <w:sz w:val="28"/>
          <w:szCs w:val="28"/>
        </w:rPr>
      </w:pPr>
      <w:r>
        <w:rPr>
          <w:rFonts w:hint="eastAsia" w:ascii="仿宋_GB2312" w:hAnsi="宋体" w:eastAsia="仿宋_GB2312" w:cs="宋体"/>
          <w:sz w:val="28"/>
          <w:szCs w:val="28"/>
        </w:rPr>
        <w:t>如比赛时间到后双方均未KO对手，则由仲裁员根据机器人机体毁伤程度、综合表现及课题报告判分；评分标准见表2。最终得分高者获胜（总分100分，课题报告20分，实战成绩80分）；</w:t>
      </w:r>
    </w:p>
    <w:p>
      <w:pPr>
        <w:pStyle w:val="9"/>
        <w:numPr>
          <w:ilvl w:val="0"/>
          <w:numId w:val="6"/>
        </w:numPr>
        <w:ind w:firstLineChars="0"/>
        <w:rPr>
          <w:rFonts w:ascii="仿宋_GB2312" w:hAnsi="宋体" w:eastAsia="仿宋_GB2312" w:cs="宋体"/>
          <w:sz w:val="28"/>
          <w:szCs w:val="28"/>
        </w:rPr>
      </w:pPr>
      <w:r>
        <w:rPr>
          <w:rFonts w:hint="eastAsia" w:ascii="仿宋_GB2312" w:hAnsi="宋体" w:eastAsia="仿宋_GB2312" w:cs="宋体"/>
          <w:sz w:val="28"/>
          <w:szCs w:val="28"/>
        </w:rPr>
        <w:t>最终评奖时若出现战绩相同者，以课题报告分数排列先后顺序。</w:t>
      </w:r>
    </w:p>
    <w:tbl>
      <w:tblPr>
        <w:tblStyle w:val="5"/>
        <w:tblW w:w="0" w:type="auto"/>
        <w:tblInd w:w="4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8"/>
        <w:gridCol w:w="5870"/>
        <w:gridCol w:w="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02" w:type="dxa"/>
            <w:gridSpan w:val="3"/>
          </w:tcPr>
          <w:p>
            <w:pPr>
              <w:pStyle w:val="9"/>
              <w:ind w:left="420" w:firstLine="0" w:firstLineChars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表1——格斗赛课题报告评分表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8102" w:type="dxa"/>
            <w:gridSpan w:val="3"/>
          </w:tcPr>
          <w:p>
            <w:pPr>
              <w:pStyle w:val="9"/>
              <w:ind w:firstLine="0" w:firstLineChars="0"/>
              <w:jc w:val="lef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说明：共4个评分项，每项5分，共20分。电子版为PDF格式，纸质版用A4纸，均需提交。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8" w:type="dxa"/>
            <w:vAlign w:val="center"/>
          </w:tcPr>
          <w:p>
            <w:pPr>
              <w:pStyle w:val="9"/>
              <w:ind w:firstLine="0" w:firstLineChars="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序号</w:t>
            </w:r>
          </w:p>
        </w:tc>
        <w:tc>
          <w:tcPr>
            <w:tcW w:w="5870" w:type="dxa"/>
            <w:vAlign w:val="center"/>
          </w:tcPr>
          <w:p>
            <w:pPr>
              <w:pStyle w:val="9"/>
              <w:ind w:firstLine="0" w:firstLineChars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评分项</w:t>
            </w:r>
          </w:p>
        </w:tc>
        <w:tc>
          <w:tcPr>
            <w:tcW w:w="984" w:type="dxa"/>
            <w:vAlign w:val="center"/>
          </w:tcPr>
          <w:p>
            <w:pPr>
              <w:pStyle w:val="9"/>
              <w:ind w:firstLine="0" w:firstLineChars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8" w:type="dxa"/>
            <w:vAlign w:val="center"/>
          </w:tcPr>
          <w:p>
            <w:pPr>
              <w:pStyle w:val="9"/>
              <w:ind w:firstLine="0" w:firstLineChars="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1</w:t>
            </w:r>
          </w:p>
        </w:tc>
        <w:tc>
          <w:tcPr>
            <w:tcW w:w="5870" w:type="dxa"/>
            <w:vAlign w:val="center"/>
          </w:tcPr>
          <w:p>
            <w:pPr>
              <w:pStyle w:val="9"/>
              <w:ind w:firstLine="0" w:firstLineChars="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设计理念明确，思路清晰，具备可实施性。自主创新性突出。</w:t>
            </w:r>
          </w:p>
        </w:tc>
        <w:tc>
          <w:tcPr>
            <w:tcW w:w="984" w:type="dxa"/>
            <w:vAlign w:val="center"/>
          </w:tcPr>
          <w:p>
            <w:pPr>
              <w:pStyle w:val="9"/>
              <w:ind w:firstLine="0" w:firstLineChars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8" w:type="dxa"/>
            <w:vAlign w:val="center"/>
          </w:tcPr>
          <w:p>
            <w:pPr>
              <w:pStyle w:val="9"/>
              <w:ind w:firstLine="0" w:firstLineChars="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2</w:t>
            </w:r>
          </w:p>
        </w:tc>
        <w:tc>
          <w:tcPr>
            <w:tcW w:w="5870" w:type="dxa"/>
            <w:vAlign w:val="center"/>
          </w:tcPr>
          <w:p>
            <w:pPr>
              <w:pStyle w:val="9"/>
              <w:ind w:firstLine="0" w:firstLineChars="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设计过程记录详细，进度及图片视频等资料齐全</w:t>
            </w:r>
          </w:p>
        </w:tc>
        <w:tc>
          <w:tcPr>
            <w:tcW w:w="984" w:type="dxa"/>
            <w:vAlign w:val="center"/>
          </w:tcPr>
          <w:p>
            <w:pPr>
              <w:pStyle w:val="9"/>
              <w:ind w:firstLine="0" w:firstLineChars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8" w:type="dxa"/>
            <w:vAlign w:val="center"/>
          </w:tcPr>
          <w:p>
            <w:pPr>
              <w:pStyle w:val="9"/>
              <w:ind w:firstLine="0" w:firstLineChars="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3</w:t>
            </w:r>
          </w:p>
        </w:tc>
        <w:tc>
          <w:tcPr>
            <w:tcW w:w="5870" w:type="dxa"/>
            <w:vAlign w:val="center"/>
          </w:tcPr>
          <w:p>
            <w:pPr>
              <w:pStyle w:val="9"/>
              <w:ind w:firstLine="0" w:firstLineChars="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装配调试及测试过程记录详细，进度及图片视频等资料齐全</w:t>
            </w:r>
          </w:p>
        </w:tc>
        <w:tc>
          <w:tcPr>
            <w:tcW w:w="984" w:type="dxa"/>
            <w:vAlign w:val="center"/>
          </w:tcPr>
          <w:p>
            <w:pPr>
              <w:pStyle w:val="9"/>
              <w:ind w:firstLine="0" w:firstLineChars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8" w:type="dxa"/>
            <w:vAlign w:val="center"/>
          </w:tcPr>
          <w:p>
            <w:pPr>
              <w:pStyle w:val="9"/>
              <w:ind w:firstLine="0" w:firstLineChars="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4</w:t>
            </w:r>
          </w:p>
        </w:tc>
        <w:tc>
          <w:tcPr>
            <w:tcW w:w="5870" w:type="dxa"/>
            <w:vAlign w:val="center"/>
          </w:tcPr>
          <w:p>
            <w:pPr>
              <w:pStyle w:val="9"/>
              <w:ind w:firstLine="0" w:firstLineChars="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对成果总结全面，对自己的成长过程总结有高度，团队合作分工明确。</w:t>
            </w:r>
          </w:p>
        </w:tc>
        <w:tc>
          <w:tcPr>
            <w:tcW w:w="984" w:type="dxa"/>
            <w:vAlign w:val="center"/>
          </w:tcPr>
          <w:p>
            <w:pPr>
              <w:pStyle w:val="9"/>
              <w:ind w:firstLine="0" w:firstLineChars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</w:p>
        </w:tc>
      </w:tr>
    </w:tbl>
    <w:p>
      <w:pPr>
        <w:pStyle w:val="9"/>
        <w:ind w:left="420" w:firstLine="0" w:firstLineChars="0"/>
        <w:jc w:val="center"/>
        <w:rPr>
          <w:rFonts w:ascii="仿宋_GB2312" w:hAnsi="宋体" w:eastAsia="仿宋_GB2312" w:cs="宋体"/>
          <w:sz w:val="28"/>
          <w:szCs w:val="28"/>
        </w:rPr>
      </w:pPr>
    </w:p>
    <w:tbl>
      <w:tblPr>
        <w:tblStyle w:val="5"/>
        <w:tblW w:w="9073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3119"/>
        <w:gridCol w:w="2665"/>
        <w:gridCol w:w="24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73" w:type="dxa"/>
            <w:gridSpan w:val="4"/>
            <w:vAlign w:val="center"/>
          </w:tcPr>
          <w:p>
            <w:pPr>
              <w:pStyle w:val="9"/>
              <w:spacing w:line="276" w:lineRule="auto"/>
              <w:ind w:firstLine="0" w:firstLineChars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表2——格斗赛现场评分表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Align w:val="center"/>
          </w:tcPr>
          <w:p>
            <w:pPr>
              <w:widowControl/>
              <w:jc w:val="left"/>
              <w:rPr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序号</w:t>
            </w:r>
          </w:p>
        </w:tc>
        <w:tc>
          <w:tcPr>
            <w:tcW w:w="3119" w:type="dxa"/>
            <w:vAlign w:val="center"/>
          </w:tcPr>
          <w:p>
            <w:pPr>
              <w:pStyle w:val="9"/>
              <w:spacing w:line="276" w:lineRule="auto"/>
              <w:ind w:firstLine="0" w:firstLineChars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评分明细</w:t>
            </w:r>
          </w:p>
        </w:tc>
        <w:tc>
          <w:tcPr>
            <w:tcW w:w="2665" w:type="dxa"/>
            <w:vAlign w:val="center"/>
          </w:tcPr>
          <w:p>
            <w:pPr>
              <w:pStyle w:val="9"/>
              <w:spacing w:line="276" w:lineRule="auto"/>
              <w:ind w:firstLine="0" w:firstLineChars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红方选手</w:t>
            </w:r>
          </w:p>
        </w:tc>
        <w:tc>
          <w:tcPr>
            <w:tcW w:w="2438" w:type="dxa"/>
            <w:vAlign w:val="center"/>
          </w:tcPr>
          <w:p>
            <w:pPr>
              <w:pStyle w:val="9"/>
              <w:spacing w:line="276" w:lineRule="auto"/>
              <w:ind w:firstLine="0" w:firstLineChars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蓝方选手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gridSpan w:val="2"/>
            <w:vAlign w:val="center"/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检录称重（克，小数点后1位）</w:t>
            </w:r>
          </w:p>
        </w:tc>
        <w:tc>
          <w:tcPr>
            <w:tcW w:w="2665" w:type="dxa"/>
            <w:vAlign w:val="center"/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438" w:type="dxa"/>
            <w:vAlign w:val="center"/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Align w:val="center"/>
          </w:tcPr>
          <w:p>
            <w:pPr>
              <w:pStyle w:val="9"/>
              <w:ind w:firstLine="0" w:firstLineChars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1</w:t>
            </w:r>
          </w:p>
        </w:tc>
        <w:tc>
          <w:tcPr>
            <w:tcW w:w="3119" w:type="dxa"/>
            <w:vAlign w:val="center"/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提前启动（-5分）</w:t>
            </w:r>
          </w:p>
        </w:tc>
        <w:tc>
          <w:tcPr>
            <w:tcW w:w="2665" w:type="dxa"/>
            <w:vAlign w:val="center"/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438" w:type="dxa"/>
            <w:vAlign w:val="center"/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Align w:val="center"/>
          </w:tcPr>
          <w:p>
            <w:pPr>
              <w:pStyle w:val="9"/>
              <w:ind w:firstLine="0" w:firstLineChars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2</w:t>
            </w:r>
          </w:p>
        </w:tc>
        <w:tc>
          <w:tcPr>
            <w:tcW w:w="3119" w:type="dxa"/>
            <w:vAlign w:val="center"/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消极比赛（-10分）</w:t>
            </w:r>
          </w:p>
        </w:tc>
        <w:tc>
          <w:tcPr>
            <w:tcW w:w="2665" w:type="dxa"/>
            <w:vAlign w:val="center"/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438" w:type="dxa"/>
            <w:vAlign w:val="center"/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Align w:val="center"/>
          </w:tcPr>
          <w:p>
            <w:pPr>
              <w:pStyle w:val="9"/>
              <w:ind w:firstLine="0" w:firstLineChars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3</w:t>
            </w:r>
          </w:p>
        </w:tc>
        <w:tc>
          <w:tcPr>
            <w:tcW w:w="3119" w:type="dxa"/>
            <w:vAlign w:val="center"/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KO对手</w:t>
            </w:r>
          </w:p>
        </w:tc>
        <w:tc>
          <w:tcPr>
            <w:tcW w:w="2665" w:type="dxa"/>
            <w:vAlign w:val="center"/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打击/陷阱</w:t>
            </w:r>
          </w:p>
        </w:tc>
        <w:tc>
          <w:tcPr>
            <w:tcW w:w="2438" w:type="dxa"/>
            <w:vAlign w:val="center"/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打击/陷阱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Align w:val="center"/>
          </w:tcPr>
          <w:p>
            <w:pPr>
              <w:pStyle w:val="9"/>
              <w:ind w:firstLine="0" w:firstLineChars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4</w:t>
            </w:r>
          </w:p>
        </w:tc>
        <w:tc>
          <w:tcPr>
            <w:tcW w:w="3119" w:type="dxa"/>
            <w:vAlign w:val="center"/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被粉碎机击中</w:t>
            </w:r>
          </w:p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（-2分/次）</w:t>
            </w:r>
          </w:p>
        </w:tc>
        <w:tc>
          <w:tcPr>
            <w:tcW w:w="2665" w:type="dxa"/>
            <w:vAlign w:val="center"/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438" w:type="dxa"/>
            <w:vAlign w:val="center"/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Align w:val="center"/>
          </w:tcPr>
          <w:p>
            <w:pPr>
              <w:pStyle w:val="9"/>
              <w:ind w:firstLine="0" w:firstLineChars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5</w:t>
            </w:r>
          </w:p>
        </w:tc>
        <w:tc>
          <w:tcPr>
            <w:tcW w:w="3119" w:type="dxa"/>
            <w:vAlign w:val="center"/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掉入陷阱（-1分/秒，满10秒未脱离陷阱判定被KO）</w:t>
            </w:r>
          </w:p>
        </w:tc>
        <w:tc>
          <w:tcPr>
            <w:tcW w:w="2665" w:type="dxa"/>
            <w:vAlign w:val="center"/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438" w:type="dxa"/>
            <w:vAlign w:val="center"/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Align w:val="center"/>
          </w:tcPr>
          <w:p>
            <w:pPr>
              <w:pStyle w:val="9"/>
              <w:ind w:firstLine="0" w:firstLineChars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6</w:t>
            </w:r>
          </w:p>
        </w:tc>
        <w:tc>
          <w:tcPr>
            <w:tcW w:w="3119" w:type="dxa"/>
            <w:vAlign w:val="center"/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被击翻（未KO）</w:t>
            </w:r>
          </w:p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（-20）</w:t>
            </w:r>
          </w:p>
        </w:tc>
        <w:tc>
          <w:tcPr>
            <w:tcW w:w="2665" w:type="dxa"/>
            <w:vAlign w:val="center"/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438" w:type="dxa"/>
            <w:vAlign w:val="center"/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Align w:val="center"/>
          </w:tcPr>
          <w:p>
            <w:pPr>
              <w:pStyle w:val="9"/>
              <w:ind w:firstLine="0" w:firstLineChars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7</w:t>
            </w:r>
          </w:p>
        </w:tc>
        <w:tc>
          <w:tcPr>
            <w:tcW w:w="3119" w:type="dxa"/>
            <w:vAlign w:val="center"/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辱骂裁判或选手</w:t>
            </w:r>
          </w:p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（取消比赛资格）</w:t>
            </w:r>
          </w:p>
        </w:tc>
        <w:tc>
          <w:tcPr>
            <w:tcW w:w="2665" w:type="dxa"/>
            <w:vAlign w:val="center"/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438" w:type="dxa"/>
            <w:vAlign w:val="center"/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Align w:val="center"/>
          </w:tcPr>
          <w:p>
            <w:pPr>
              <w:pStyle w:val="9"/>
              <w:ind w:firstLine="0" w:firstLineChars="0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8</w:t>
            </w:r>
          </w:p>
        </w:tc>
        <w:tc>
          <w:tcPr>
            <w:tcW w:w="3119" w:type="dxa"/>
            <w:vAlign w:val="center"/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其他违规行为</w:t>
            </w:r>
          </w:p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（酌情扣分）</w:t>
            </w:r>
          </w:p>
        </w:tc>
        <w:tc>
          <w:tcPr>
            <w:tcW w:w="2665" w:type="dxa"/>
            <w:vAlign w:val="center"/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438" w:type="dxa"/>
            <w:vAlign w:val="center"/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gridSpan w:val="2"/>
            <w:vAlign w:val="center"/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赛后称重（克）</w:t>
            </w:r>
          </w:p>
        </w:tc>
        <w:tc>
          <w:tcPr>
            <w:tcW w:w="2665" w:type="dxa"/>
            <w:vAlign w:val="center"/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438" w:type="dxa"/>
            <w:vAlign w:val="center"/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gridSpan w:val="2"/>
            <w:vAlign w:val="center"/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被击碎扣分（-1分/克）</w:t>
            </w:r>
          </w:p>
        </w:tc>
        <w:tc>
          <w:tcPr>
            <w:tcW w:w="2665" w:type="dxa"/>
            <w:vAlign w:val="center"/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438" w:type="dxa"/>
            <w:vAlign w:val="center"/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gridSpan w:val="2"/>
            <w:vAlign w:val="center"/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课题报告得分</w:t>
            </w:r>
          </w:p>
        </w:tc>
        <w:tc>
          <w:tcPr>
            <w:tcW w:w="2665" w:type="dxa"/>
            <w:vAlign w:val="center"/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438" w:type="dxa"/>
            <w:vAlign w:val="center"/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gridSpan w:val="2"/>
            <w:vAlign w:val="center"/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总分</w:t>
            </w:r>
          </w:p>
        </w:tc>
        <w:tc>
          <w:tcPr>
            <w:tcW w:w="2665" w:type="dxa"/>
            <w:vAlign w:val="center"/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438" w:type="dxa"/>
            <w:vAlign w:val="center"/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gridSpan w:val="2"/>
            <w:vAlign w:val="center"/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获胜队伍</w:t>
            </w:r>
          </w:p>
        </w:tc>
        <w:tc>
          <w:tcPr>
            <w:tcW w:w="2665" w:type="dxa"/>
            <w:vAlign w:val="center"/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438" w:type="dxa"/>
            <w:vAlign w:val="center"/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gridSpan w:val="2"/>
            <w:vAlign w:val="center"/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队员签字</w:t>
            </w:r>
          </w:p>
        </w:tc>
        <w:tc>
          <w:tcPr>
            <w:tcW w:w="2665" w:type="dxa"/>
            <w:vAlign w:val="center"/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438" w:type="dxa"/>
            <w:vAlign w:val="center"/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0" w:type="dxa"/>
            <w:gridSpan w:val="2"/>
            <w:vAlign w:val="center"/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裁判员签字</w:t>
            </w:r>
          </w:p>
        </w:tc>
        <w:tc>
          <w:tcPr>
            <w:tcW w:w="2665" w:type="dxa"/>
            <w:vAlign w:val="center"/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438" w:type="dxa"/>
            <w:vAlign w:val="center"/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</w:tr>
    </w:tbl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B3111B3"/>
    <w:multiLevelType w:val="multilevel"/>
    <w:tmpl w:val="0B3111B3"/>
    <w:lvl w:ilvl="0" w:tentative="0">
      <w:start w:val="1"/>
      <w:numFmt w:val="decimal"/>
      <w:lvlText w:val="%1)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F2A2795"/>
    <w:multiLevelType w:val="multilevel"/>
    <w:tmpl w:val="2F2A2795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31F680B"/>
    <w:multiLevelType w:val="multilevel"/>
    <w:tmpl w:val="331F680B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5BB087B"/>
    <w:multiLevelType w:val="multilevel"/>
    <w:tmpl w:val="35BB087B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CD153A9"/>
    <w:multiLevelType w:val="multilevel"/>
    <w:tmpl w:val="3CD153A9"/>
    <w:lvl w:ilvl="0" w:tentative="0">
      <w:start w:val="1"/>
      <w:numFmt w:val="chineseCountingThousand"/>
      <w:lvlText w:val="%1、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DF568AA"/>
    <w:multiLevelType w:val="multilevel"/>
    <w:tmpl w:val="7DF568AA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5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VhNGJiMWVmZTg4ZjFhYWZhYWFiMzBkODkwYWRkZmUifQ=="/>
  </w:docVars>
  <w:rsids>
    <w:rsidRoot w:val="00525730"/>
    <w:rsid w:val="00525730"/>
    <w:rsid w:val="007327F7"/>
    <w:rsid w:val="00A662C3"/>
    <w:rsid w:val="00A940AD"/>
    <w:rsid w:val="23BC6A95"/>
    <w:rsid w:val="500318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7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3">
    <w:name w:val="heading 3"/>
    <w:basedOn w:val="1"/>
    <w:next w:val="1"/>
    <w:link w:val="8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标题 2 Char"/>
    <w:basedOn w:val="6"/>
    <w:link w:val="2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8">
    <w:name w:val="标题 3 Char"/>
    <w:basedOn w:val="6"/>
    <w:link w:val="3"/>
    <w:qFormat/>
    <w:uiPriority w:val="9"/>
    <w:rPr>
      <w:b/>
      <w:bCs/>
      <w:sz w:val="32"/>
      <w:szCs w:val="32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5</Pages>
  <Words>258</Words>
  <Characters>1477</Characters>
  <Lines>12</Lines>
  <Paragraphs>3</Paragraphs>
  <TotalTime>13</TotalTime>
  <ScaleCrop>false</ScaleCrop>
  <LinksUpToDate>false</LinksUpToDate>
  <CharactersWithSpaces>1732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2022-08-12T02:57:00Z</dcterms:created>
  <dc:creator>freeuser</dc:creator>
  <cp:lastModifiedBy>子颉</cp:lastModifiedBy>
  <dcterms:modified xsi:type="dcterms:W3CDTF">2022-08-13T06:49:31Z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8846D7B523C644D8B10489B9E8C7DE8E</vt:lpwstr>
  </property>
</Properties>
</file>